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180" w:line="411.35999999999996" w:lineRule="auto"/>
        <w:rPr>
          <w:rFonts w:ascii="Roboto" w:cs="Roboto" w:eastAsia="Roboto" w:hAnsi="Roboto"/>
          <w:b w:val="1"/>
          <w:color w:val="172b4d"/>
        </w:rPr>
      </w:pPr>
      <w:r w:rsidDel="00000000" w:rsidR="00000000" w:rsidRPr="00000000">
        <w:rPr>
          <w:rFonts w:ascii="Roboto" w:cs="Roboto" w:eastAsia="Roboto" w:hAnsi="Roboto"/>
          <w:b w:val="1"/>
          <w:color w:val="172b4d"/>
          <w:rtl w:val="0"/>
        </w:rPr>
        <w:t xml:space="preserve">COPY:</w:t>
        <w:br w:type="textWrapping"/>
      </w:r>
    </w:p>
    <w:p w:rsidR="00000000" w:rsidDel="00000000" w:rsidP="00000000" w:rsidRDefault="00000000" w:rsidRPr="00000000" w14:paraId="00000002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Em 1845, em Paris, um derramamento de solvente deu origem à chamada “lavagem a seco”. Era a solução encontrada na época para tecidos que não podiam ser mergulhados em água.</w:t>
      </w:r>
    </w:p>
    <w:p w:rsidR="00000000" w:rsidDel="00000000" w:rsidP="00000000" w:rsidRDefault="00000000" w:rsidRPr="00000000" w14:paraId="00000003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Mas o mundo evoluiu e a DryClean USA também. 🌍</w:t>
        <w:br w:type="textWrapping"/>
        <w:t xml:space="preserve">Aqui, substituímos a lavagem a seco: tecnologia de ponta com o WetCleaning, processo que une água controlada + produtos biodegradáveis.</w:t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72b4d"/>
          <w:rtl w:val="0"/>
        </w:rPr>
        <w:t xml:space="preserve">✨ Ideal para tecidos delicados e nobres (seda, lã, couro), com mais cuidado para suas roupas, mais saúde para você e mais respeito para o meio ambiente.</w:t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#SoluçõesDryClean #WetCleaning #Sustentabilidade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