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b w:val="1"/>
          <w:color w:val="172b4d"/>
          <w:rtl w:val="0"/>
        </w:rPr>
        <w:t xml:space="preserve">COPY:</w:t>
        <w:br w:type="textWrapping"/>
      </w: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Roupas de alto valor não foram feitas para arriscar no tanque.</w:t>
        <w:br w:type="textWrapping"/>
        <w:t xml:space="preserve">Na DryClean USA, cada tecido recebe tratamento específico com produtos importados.</w:t>
        <w:br w:type="textWrapping"/>
      </w:r>
    </w:p>
    <w:p w:rsidR="00000000" w:rsidDel="00000000" w:rsidP="00000000" w:rsidRDefault="00000000" w:rsidRPr="00000000" w14:paraId="00000002">
      <w:pPr>
        <w:shd w:fill="ffffff" w:val="clear"/>
        <w:spacing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✔️ Sem encolher</w:t>
        <w:br w:type="textWrapping"/>
        <w:t xml:space="preserve">✔️ Sem desbotar</w:t>
        <w:br w:type="textWrapping"/>
        <w:t xml:space="preserve">✔️ Sempre impecável</w:t>
      </w:r>
    </w:p>
    <w:p w:rsidR="00000000" w:rsidDel="00000000" w:rsidP="00000000" w:rsidRDefault="00000000" w:rsidRPr="00000000" w14:paraId="00000003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#LavanderiaPremium #CuidadoEspecial #DrycleanUSA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