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COPY:</w:t>
        <w:br w:type="textWrapping"/>
        <w:br w:type="textWrapping"/>
      </w:r>
      <w:r w:rsidDel="00000000" w:rsidR="00000000" w:rsidRPr="00000000">
        <w:rPr>
          <w:rtl w:val="0"/>
        </w:rPr>
        <w:t xml:space="preserve">As cortinas são mais do que um detalhe na decoração: elas protegem, filtram a luz e trazem aconchego ao ambiente. 🪟✨</w:t>
        <w:br w:type="textWrapping"/>
        <w:t xml:space="preserve">Mas também acumulam poeira, ácaros e poluição do dia a dia. Por isso, o ideal é lavá-las a cada 6 meses, mantendo sua casa mais saudável e acolhedora.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DryCleanUSA, suas cortinas recebem higienização premium que preserva os tecidos e devolve o frescor que seu lar merece.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#DryCleanUSA #LavagemDeCortinas #CuidadoPremium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